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68DA6" w14:textId="77777777" w:rsidR="002F708F" w:rsidRPr="000825BD" w:rsidRDefault="00144529" w:rsidP="00144529">
      <w:pPr>
        <w:tabs>
          <w:tab w:val="left" w:pos="5640"/>
        </w:tabs>
        <w:spacing w:after="0" w:line="240" w:lineRule="auto"/>
        <w:rPr>
          <w:sz w:val="16"/>
          <w:szCs w:val="16"/>
        </w:rPr>
      </w:pPr>
      <w:bookmarkStart w:id="0" w:name="_GoBack"/>
      <w:bookmarkEnd w:id="0"/>
      <w:r>
        <w:rPr>
          <w:noProof/>
          <w:lang w:val="en-US"/>
        </w:rPr>
        <w:drawing>
          <wp:anchor distT="0" distB="0" distL="114300" distR="114300" simplePos="0" relativeHeight="251658240" behindDoc="0" locked="0" layoutInCell="1" allowOverlap="1" wp14:anchorId="2E57961A" wp14:editId="71263FFB">
            <wp:simplePos x="0" y="0"/>
            <wp:positionH relativeFrom="column">
              <wp:posOffset>0</wp:posOffset>
            </wp:positionH>
            <wp:positionV relativeFrom="paragraph">
              <wp:posOffset>-121920</wp:posOffset>
            </wp:positionV>
            <wp:extent cx="3004479" cy="59499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4479" cy="5949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B2628D">
        <w:tab/>
      </w:r>
      <w:r w:rsidR="00B2628D">
        <w:tab/>
      </w:r>
      <w:r w:rsidRPr="000825BD">
        <w:rPr>
          <w:sz w:val="16"/>
          <w:szCs w:val="16"/>
        </w:rPr>
        <w:t>PO Box 11543</w:t>
      </w:r>
    </w:p>
    <w:p w14:paraId="6994EAAD" w14:textId="77777777" w:rsidR="00144529" w:rsidRPr="000825BD" w:rsidRDefault="00144529" w:rsidP="00144529">
      <w:pPr>
        <w:tabs>
          <w:tab w:val="left" w:pos="5640"/>
        </w:tabs>
        <w:spacing w:after="0" w:line="240" w:lineRule="auto"/>
        <w:rPr>
          <w:sz w:val="16"/>
          <w:szCs w:val="16"/>
        </w:rPr>
      </w:pPr>
      <w:r w:rsidRPr="000825BD">
        <w:rPr>
          <w:sz w:val="16"/>
          <w:szCs w:val="16"/>
        </w:rPr>
        <w:tab/>
      </w:r>
      <w:r w:rsidR="00B2628D" w:rsidRPr="000825BD">
        <w:rPr>
          <w:sz w:val="16"/>
          <w:szCs w:val="16"/>
        </w:rPr>
        <w:tab/>
      </w:r>
      <w:r w:rsidR="00B2628D" w:rsidRPr="000825BD">
        <w:rPr>
          <w:sz w:val="16"/>
          <w:szCs w:val="16"/>
        </w:rPr>
        <w:tab/>
      </w:r>
      <w:r w:rsidRPr="000825BD">
        <w:rPr>
          <w:sz w:val="16"/>
          <w:szCs w:val="16"/>
        </w:rPr>
        <w:t>Wellington</w:t>
      </w:r>
    </w:p>
    <w:p w14:paraId="10FBD2BB" w14:textId="77777777" w:rsidR="00144529" w:rsidRPr="000825BD" w:rsidRDefault="00144529" w:rsidP="00144529">
      <w:pPr>
        <w:tabs>
          <w:tab w:val="left" w:pos="5640"/>
        </w:tabs>
        <w:spacing w:after="0" w:line="240" w:lineRule="auto"/>
        <w:rPr>
          <w:sz w:val="16"/>
          <w:szCs w:val="16"/>
        </w:rPr>
      </w:pPr>
      <w:r w:rsidRPr="000825BD">
        <w:rPr>
          <w:sz w:val="16"/>
          <w:szCs w:val="16"/>
        </w:rPr>
        <w:tab/>
      </w:r>
      <w:r w:rsidR="00B2628D" w:rsidRPr="000825BD">
        <w:rPr>
          <w:sz w:val="16"/>
          <w:szCs w:val="16"/>
        </w:rPr>
        <w:tab/>
      </w:r>
      <w:r w:rsidR="00B2628D" w:rsidRPr="000825BD">
        <w:rPr>
          <w:sz w:val="16"/>
          <w:szCs w:val="16"/>
        </w:rPr>
        <w:tab/>
      </w:r>
      <w:r w:rsidRPr="000825BD">
        <w:rPr>
          <w:sz w:val="16"/>
          <w:szCs w:val="16"/>
        </w:rPr>
        <w:t>New Zealand</w:t>
      </w:r>
    </w:p>
    <w:p w14:paraId="27D00848" w14:textId="77777777" w:rsidR="00144529" w:rsidRPr="000825BD" w:rsidRDefault="00144529" w:rsidP="00144529">
      <w:pPr>
        <w:tabs>
          <w:tab w:val="left" w:pos="5640"/>
        </w:tabs>
        <w:spacing w:after="0" w:line="240" w:lineRule="auto"/>
        <w:rPr>
          <w:sz w:val="16"/>
          <w:szCs w:val="16"/>
        </w:rPr>
      </w:pPr>
      <w:r w:rsidRPr="000825BD">
        <w:rPr>
          <w:sz w:val="16"/>
          <w:szCs w:val="16"/>
        </w:rPr>
        <w:tab/>
      </w:r>
      <w:r w:rsidR="00B2628D" w:rsidRPr="000825BD">
        <w:rPr>
          <w:sz w:val="16"/>
          <w:szCs w:val="16"/>
        </w:rPr>
        <w:tab/>
      </w:r>
      <w:r w:rsidR="00B2628D" w:rsidRPr="000825BD">
        <w:rPr>
          <w:sz w:val="16"/>
          <w:szCs w:val="16"/>
        </w:rPr>
        <w:tab/>
      </w:r>
      <w:r w:rsidRPr="000825BD">
        <w:rPr>
          <w:sz w:val="16"/>
          <w:szCs w:val="16"/>
        </w:rPr>
        <w:t>Ph 04 385 8722</w:t>
      </w:r>
    </w:p>
    <w:p w14:paraId="72DA7C68" w14:textId="77777777" w:rsidR="00144529" w:rsidRPr="000825BD" w:rsidRDefault="00144529" w:rsidP="00144529">
      <w:pPr>
        <w:tabs>
          <w:tab w:val="left" w:pos="5640"/>
        </w:tabs>
        <w:spacing w:after="0" w:line="240" w:lineRule="auto"/>
        <w:rPr>
          <w:sz w:val="16"/>
          <w:szCs w:val="16"/>
        </w:rPr>
      </w:pPr>
      <w:r w:rsidRPr="000825BD">
        <w:rPr>
          <w:sz w:val="16"/>
          <w:szCs w:val="16"/>
        </w:rPr>
        <w:tab/>
      </w:r>
      <w:r w:rsidR="00B2628D" w:rsidRPr="000825BD">
        <w:rPr>
          <w:sz w:val="16"/>
          <w:szCs w:val="16"/>
        </w:rPr>
        <w:tab/>
      </w:r>
      <w:r w:rsidR="00B2628D" w:rsidRPr="000825BD">
        <w:rPr>
          <w:sz w:val="16"/>
          <w:szCs w:val="16"/>
        </w:rPr>
        <w:tab/>
      </w:r>
      <w:r w:rsidRPr="000825BD">
        <w:rPr>
          <w:sz w:val="16"/>
          <w:szCs w:val="16"/>
        </w:rPr>
        <w:t>www.commmunityhousing.org.nz</w:t>
      </w:r>
    </w:p>
    <w:p w14:paraId="42E3A235" w14:textId="77777777" w:rsidR="00B2628D" w:rsidRPr="000825BD" w:rsidRDefault="00B2628D" w:rsidP="00144529">
      <w:pPr>
        <w:tabs>
          <w:tab w:val="left" w:pos="5640"/>
        </w:tabs>
        <w:rPr>
          <w:sz w:val="16"/>
          <w:szCs w:val="16"/>
        </w:rPr>
      </w:pPr>
    </w:p>
    <w:p w14:paraId="31D2B1FB" w14:textId="77777777" w:rsidR="00B2628D" w:rsidRPr="000825BD" w:rsidRDefault="008B1CC5" w:rsidP="00144529">
      <w:pPr>
        <w:tabs>
          <w:tab w:val="left" w:pos="5640"/>
        </w:tabs>
        <w:rPr>
          <w:rFonts w:ascii="Arial" w:hAnsi="Arial" w:cs="Arial"/>
          <w:i/>
          <w:sz w:val="12"/>
        </w:rPr>
      </w:pPr>
      <w:r w:rsidRPr="000825BD">
        <w:rPr>
          <w:rFonts w:ascii="Arial" w:hAnsi="Arial" w:cs="Arial"/>
        </w:rPr>
        <w:t>XX February 2015</w:t>
      </w:r>
      <w:r w:rsidR="000825BD">
        <w:rPr>
          <w:rFonts w:ascii="Arial" w:hAnsi="Arial" w:cs="Arial"/>
          <w:sz w:val="12"/>
        </w:rPr>
        <w:t xml:space="preserve">                                                                                                         </w:t>
      </w:r>
      <w:r w:rsidRPr="000825BD">
        <w:rPr>
          <w:rFonts w:ascii="Arial" w:hAnsi="Arial" w:cs="Arial"/>
          <w:i/>
        </w:rPr>
        <w:t xml:space="preserve">via email: </w:t>
      </w:r>
      <w:hyperlink r:id="rId12" w:history="1">
        <w:r w:rsidR="000825BD" w:rsidRPr="000825BD">
          <w:rPr>
            <w:rStyle w:val="Hyperlink"/>
            <w:rFonts w:ascii="Arial" w:hAnsi="Arial" w:cs="Arial"/>
            <w:i/>
          </w:rPr>
          <w:t>CHP.regulations@mbie.govt.nz</w:t>
        </w:r>
      </w:hyperlink>
      <w:r w:rsidR="000825BD" w:rsidRPr="000825BD">
        <w:rPr>
          <w:rFonts w:ascii="Arial" w:hAnsi="Arial" w:cs="Arial"/>
          <w:i/>
        </w:rPr>
        <w:t xml:space="preserve"> </w:t>
      </w:r>
    </w:p>
    <w:p w14:paraId="7B02C525" w14:textId="77777777" w:rsidR="008B1CC5" w:rsidRPr="000825BD" w:rsidRDefault="008B1CC5" w:rsidP="008B1CC5">
      <w:pPr>
        <w:pStyle w:val="NoSpacing"/>
        <w:rPr>
          <w:rFonts w:ascii="Arial" w:hAnsi="Arial" w:cs="Arial"/>
        </w:rPr>
      </w:pPr>
      <w:r w:rsidRPr="000825BD">
        <w:rPr>
          <w:rFonts w:ascii="Arial" w:hAnsi="Arial" w:cs="Arial"/>
        </w:rPr>
        <w:t>Community Housing Regulatory Authority (CHP Consultation)</w:t>
      </w:r>
    </w:p>
    <w:p w14:paraId="345209EA" w14:textId="77777777" w:rsidR="008B1CC5" w:rsidRPr="000825BD" w:rsidRDefault="008B1CC5" w:rsidP="008B1CC5">
      <w:pPr>
        <w:pStyle w:val="NoSpacing"/>
        <w:rPr>
          <w:rFonts w:ascii="Arial" w:hAnsi="Arial" w:cs="Arial"/>
        </w:rPr>
      </w:pPr>
      <w:r w:rsidRPr="000825BD">
        <w:rPr>
          <w:rFonts w:ascii="Arial" w:hAnsi="Arial" w:cs="Arial"/>
        </w:rPr>
        <w:t>Construction and Housing Markets Branch</w:t>
      </w:r>
    </w:p>
    <w:p w14:paraId="4A531805" w14:textId="77777777" w:rsidR="008B1CC5" w:rsidRPr="000825BD" w:rsidRDefault="008B1CC5" w:rsidP="008B1CC5">
      <w:pPr>
        <w:pStyle w:val="NoSpacing"/>
        <w:rPr>
          <w:rFonts w:ascii="Arial" w:hAnsi="Arial" w:cs="Arial"/>
        </w:rPr>
      </w:pPr>
      <w:r w:rsidRPr="000825BD">
        <w:rPr>
          <w:rFonts w:ascii="Arial" w:hAnsi="Arial" w:cs="Arial"/>
        </w:rPr>
        <w:t>Ministry of Business, Innovation &amp; Employment</w:t>
      </w:r>
    </w:p>
    <w:p w14:paraId="70CD52A0" w14:textId="77777777" w:rsidR="008B1CC5" w:rsidRPr="000825BD" w:rsidRDefault="008B1CC5" w:rsidP="008B1CC5">
      <w:pPr>
        <w:pStyle w:val="NoSpacing"/>
        <w:rPr>
          <w:rFonts w:ascii="Arial" w:hAnsi="Arial" w:cs="Arial"/>
        </w:rPr>
      </w:pPr>
      <w:r w:rsidRPr="000825BD">
        <w:rPr>
          <w:rFonts w:ascii="Arial" w:hAnsi="Arial" w:cs="Arial"/>
        </w:rPr>
        <w:t>PO Box 1473</w:t>
      </w:r>
    </w:p>
    <w:p w14:paraId="0FE7CA06" w14:textId="77777777" w:rsidR="008B1CC5" w:rsidRPr="000825BD" w:rsidRDefault="008B1CC5" w:rsidP="008B1CC5">
      <w:pPr>
        <w:pStyle w:val="NoSpacing"/>
        <w:rPr>
          <w:rFonts w:ascii="Arial" w:hAnsi="Arial" w:cs="Arial"/>
        </w:rPr>
      </w:pPr>
      <w:r w:rsidRPr="000825BD">
        <w:rPr>
          <w:rFonts w:ascii="Arial" w:hAnsi="Arial" w:cs="Arial"/>
        </w:rPr>
        <w:t>Wellington 6140</w:t>
      </w:r>
    </w:p>
    <w:p w14:paraId="4A3E126F" w14:textId="77777777" w:rsidR="008B1CC5" w:rsidRPr="000825BD" w:rsidRDefault="008B1CC5" w:rsidP="00B2628D">
      <w:pPr>
        <w:rPr>
          <w:rFonts w:ascii="Arial" w:hAnsi="Arial" w:cs="Arial"/>
        </w:rPr>
      </w:pPr>
    </w:p>
    <w:p w14:paraId="4A560663" w14:textId="77777777" w:rsidR="00B2628D" w:rsidRPr="000825BD" w:rsidRDefault="000825BD" w:rsidP="00B2628D">
      <w:pPr>
        <w:rPr>
          <w:rFonts w:ascii="Arial" w:hAnsi="Arial" w:cs="Arial"/>
          <w:b/>
        </w:rPr>
      </w:pPr>
      <w:r w:rsidRPr="000825BD">
        <w:rPr>
          <w:rFonts w:ascii="Arial" w:hAnsi="Arial" w:cs="Arial"/>
          <w:b/>
        </w:rPr>
        <w:t>Submission on “</w:t>
      </w:r>
      <w:r w:rsidR="00B2628D" w:rsidRPr="000825BD">
        <w:rPr>
          <w:rFonts w:ascii="Arial" w:hAnsi="Arial" w:cs="Arial"/>
          <w:b/>
        </w:rPr>
        <w:t>Eligibility and Registration of Community Housing Providers</w:t>
      </w:r>
      <w:r w:rsidRPr="000825BD">
        <w:rPr>
          <w:rFonts w:ascii="Arial" w:hAnsi="Arial" w:cs="Arial"/>
          <w:b/>
        </w:rPr>
        <w:t>” consultation document</w:t>
      </w:r>
    </w:p>
    <w:p w14:paraId="613FEA8A" w14:textId="77777777" w:rsidR="000825BD" w:rsidRPr="000825BD" w:rsidRDefault="000825BD" w:rsidP="000825BD">
      <w:pPr>
        <w:tabs>
          <w:tab w:val="left" w:pos="5640"/>
        </w:tabs>
        <w:rPr>
          <w:rFonts w:ascii="Arial" w:hAnsi="Arial" w:cs="Arial"/>
          <w:color w:val="1D1B11" w:themeColor="background2" w:themeShade="1A"/>
        </w:rPr>
      </w:pPr>
      <w:r w:rsidRPr="000825BD">
        <w:rPr>
          <w:rFonts w:ascii="Arial" w:hAnsi="Arial" w:cs="Arial"/>
        </w:rPr>
        <w:t xml:space="preserve">Community Housing Aotearoa (CHA) </w:t>
      </w:r>
      <w:r w:rsidRPr="000825BD">
        <w:rPr>
          <w:rFonts w:ascii="Arial" w:hAnsi="Arial" w:cs="Arial"/>
          <w:color w:val="1D1B11" w:themeColor="background2" w:themeShade="1A"/>
        </w:rPr>
        <w:t xml:space="preserve">welcomes the opportunity to provide comment on the </w:t>
      </w:r>
      <w:r w:rsidRPr="000825BD">
        <w:rPr>
          <w:rFonts w:ascii="Arial" w:hAnsi="Arial" w:cs="Arial"/>
        </w:rPr>
        <w:t>Eligibility and Registration of Community Housing Providers consultation document</w:t>
      </w:r>
      <w:r w:rsidRPr="000825BD">
        <w:rPr>
          <w:rFonts w:ascii="Arial" w:hAnsi="Arial" w:cs="Arial"/>
          <w:color w:val="1D1B11" w:themeColor="background2" w:themeShade="1A"/>
        </w:rPr>
        <w:t>.</w:t>
      </w:r>
    </w:p>
    <w:p w14:paraId="6C15A385" w14:textId="69BF00FD" w:rsidR="00B2628D" w:rsidRPr="000825BD" w:rsidRDefault="000825BD" w:rsidP="00B2628D">
      <w:pPr>
        <w:rPr>
          <w:rFonts w:ascii="Arial" w:hAnsi="Arial" w:cs="Arial"/>
        </w:rPr>
      </w:pPr>
      <w:r>
        <w:rPr>
          <w:rFonts w:ascii="Arial" w:hAnsi="Arial" w:cs="Arial"/>
        </w:rPr>
        <w:t xml:space="preserve">Community Housing Aotearoa supports the proposed amendment to Regulation 6(1)(d) to remove the reference to “empowering document”.  Several members have contacted us with concerns about the potential monetary and time costs they faced </w:t>
      </w:r>
      <w:r w:rsidR="00171697">
        <w:rPr>
          <w:rFonts w:ascii="Arial" w:hAnsi="Arial" w:cs="Arial"/>
        </w:rPr>
        <w:t>based on the overly pre</w:t>
      </w:r>
      <w:r>
        <w:rPr>
          <w:rFonts w:ascii="Arial" w:hAnsi="Arial" w:cs="Arial"/>
        </w:rPr>
        <w:t>scriptive wording in the current Regulation</w:t>
      </w:r>
      <w:r w:rsidR="00171697">
        <w:rPr>
          <w:rFonts w:ascii="Arial" w:hAnsi="Arial" w:cs="Arial"/>
        </w:rPr>
        <w:t>.</w:t>
      </w:r>
      <w:r w:rsidR="00C27DC9">
        <w:rPr>
          <w:rFonts w:ascii="Arial" w:hAnsi="Arial" w:cs="Arial"/>
        </w:rPr>
        <w:t xml:space="preserve">  The proposed change will allow them t</w:t>
      </w:r>
      <w:r w:rsidR="00250B53">
        <w:rPr>
          <w:rFonts w:ascii="Arial" w:hAnsi="Arial" w:cs="Arial"/>
        </w:rPr>
        <w:t>o move from “deemed” provider status</w:t>
      </w:r>
      <w:r w:rsidR="00C27DC9">
        <w:rPr>
          <w:rFonts w:ascii="Arial" w:hAnsi="Arial" w:cs="Arial"/>
        </w:rPr>
        <w:t xml:space="preserve"> or be approved for new registration without incurring the</w:t>
      </w:r>
      <w:r>
        <w:rPr>
          <w:rFonts w:ascii="Arial" w:hAnsi="Arial" w:cs="Arial"/>
        </w:rPr>
        <w:t xml:space="preserve"> </w:t>
      </w:r>
      <w:r w:rsidR="00C27DC9">
        <w:rPr>
          <w:rFonts w:ascii="Arial" w:hAnsi="Arial" w:cs="Arial"/>
        </w:rPr>
        <w:t>expenses required to amend their empowering documents.</w:t>
      </w:r>
    </w:p>
    <w:p w14:paraId="152F1B08" w14:textId="28F00F6A" w:rsidR="00B2628D" w:rsidRPr="000825BD" w:rsidRDefault="00171697" w:rsidP="00B2628D">
      <w:pPr>
        <w:rPr>
          <w:rFonts w:ascii="Arial" w:hAnsi="Arial" w:cs="Arial"/>
        </w:rPr>
      </w:pPr>
      <w:r>
        <w:rPr>
          <w:rFonts w:ascii="Arial" w:hAnsi="Arial" w:cs="Arial"/>
        </w:rPr>
        <w:t>CHA acknowledges there is some risk of non-genuine providers applying to register, but believe</w:t>
      </w:r>
      <w:r w:rsidR="00A26A2C">
        <w:rPr>
          <w:rFonts w:ascii="Arial" w:hAnsi="Arial" w:cs="Arial"/>
        </w:rPr>
        <w:t>s</w:t>
      </w:r>
      <w:r>
        <w:rPr>
          <w:rFonts w:ascii="Arial" w:hAnsi="Arial" w:cs="Arial"/>
        </w:rPr>
        <w:t xml:space="preserve"> the Community Housing Regulatory Authority </w:t>
      </w:r>
      <w:r w:rsidR="00250B53">
        <w:rPr>
          <w:rFonts w:ascii="Arial" w:hAnsi="Arial" w:cs="Arial"/>
        </w:rPr>
        <w:t xml:space="preserve">(CHRA) </w:t>
      </w:r>
      <w:r>
        <w:rPr>
          <w:rFonts w:ascii="Arial" w:hAnsi="Arial" w:cs="Arial"/>
        </w:rPr>
        <w:t>has the required skills and experience to identify those applicants based on a review of the other documents submitted</w:t>
      </w:r>
      <w:r w:rsidR="00A26A2C">
        <w:rPr>
          <w:rFonts w:ascii="Arial" w:hAnsi="Arial" w:cs="Arial"/>
        </w:rPr>
        <w:t xml:space="preserve"> with applications</w:t>
      </w:r>
      <w:r>
        <w:rPr>
          <w:rFonts w:ascii="Arial" w:hAnsi="Arial" w:cs="Arial"/>
        </w:rPr>
        <w:t>.</w:t>
      </w:r>
      <w:r w:rsidR="00250B53">
        <w:rPr>
          <w:rFonts w:ascii="Arial" w:hAnsi="Arial" w:cs="Arial"/>
        </w:rPr>
        <w:t xml:space="preserve">  We have some concern that there is a need for CHRA’s authorising legislation to specify that only those organisations who are structured on a not-for-profit basis can be registered.  Towards this end we have long supported an alignment between not-for-profit structures with the tax-exemption provisions, to ensure maximum outcomes are delivered from government’s housing investments.  Such provisions would assist in growing the capacity of the sector, by demonstrating a stable policy environment to facilitate significant partnerships between community housing organisations and the for-profit construction and development industry. Such clarity would ensure that a registered community housing organisation’s role is clearly set and well understood by all parties.</w:t>
      </w:r>
    </w:p>
    <w:p w14:paraId="4B2CC32B" w14:textId="77777777" w:rsidR="00B2628D" w:rsidRPr="000825BD" w:rsidRDefault="00171697" w:rsidP="00B2628D">
      <w:pPr>
        <w:rPr>
          <w:rFonts w:ascii="Arial" w:hAnsi="Arial" w:cs="Arial"/>
        </w:rPr>
      </w:pPr>
      <w:r>
        <w:rPr>
          <w:rFonts w:ascii="Arial" w:hAnsi="Arial" w:cs="Arial"/>
        </w:rPr>
        <w:t xml:space="preserve">While not currently being consulted upon, CHA </w:t>
      </w:r>
      <w:r w:rsidR="00B2628D" w:rsidRPr="000825BD">
        <w:rPr>
          <w:rFonts w:ascii="Arial" w:hAnsi="Arial" w:cs="Arial"/>
        </w:rPr>
        <w:t>asks CHRA to work with us and the wider sector on subsequent regulatory changes which include</w:t>
      </w:r>
      <w:r w:rsidR="00A26A2C">
        <w:rPr>
          <w:rFonts w:ascii="Arial" w:hAnsi="Arial" w:cs="Arial"/>
        </w:rPr>
        <w:t>:</w:t>
      </w:r>
    </w:p>
    <w:p w14:paraId="0F482A7B" w14:textId="77777777" w:rsidR="00B2628D" w:rsidRPr="00C27DC9" w:rsidRDefault="00B2628D" w:rsidP="00C27DC9">
      <w:pPr>
        <w:pStyle w:val="ListParagraph"/>
        <w:numPr>
          <w:ilvl w:val="0"/>
          <w:numId w:val="1"/>
        </w:numPr>
        <w:rPr>
          <w:rFonts w:ascii="Arial" w:hAnsi="Arial" w:cs="Arial"/>
        </w:rPr>
      </w:pPr>
      <w:r w:rsidRPr="00C27DC9">
        <w:rPr>
          <w:rFonts w:ascii="Arial" w:hAnsi="Arial" w:cs="Arial"/>
        </w:rPr>
        <w:t>Class 2 Registration</w:t>
      </w:r>
      <w:r w:rsidR="00C27DC9">
        <w:rPr>
          <w:rFonts w:ascii="Arial" w:hAnsi="Arial" w:cs="Arial"/>
        </w:rPr>
        <w:t>;</w:t>
      </w:r>
    </w:p>
    <w:p w14:paraId="5E926CB3" w14:textId="77777777" w:rsidR="00C27DC9" w:rsidRPr="00C27DC9" w:rsidRDefault="00C27DC9" w:rsidP="00C27DC9">
      <w:pPr>
        <w:pStyle w:val="ListParagraph"/>
        <w:numPr>
          <w:ilvl w:val="0"/>
          <w:numId w:val="1"/>
        </w:numPr>
        <w:rPr>
          <w:rFonts w:ascii="Arial" w:hAnsi="Arial" w:cs="Arial"/>
        </w:rPr>
      </w:pPr>
      <w:r w:rsidRPr="00C27DC9">
        <w:rPr>
          <w:rFonts w:ascii="Arial" w:hAnsi="Arial" w:cs="Arial"/>
        </w:rPr>
        <w:t>Alignment of Accreditation and Regulation</w:t>
      </w:r>
      <w:r>
        <w:rPr>
          <w:rFonts w:ascii="Arial" w:hAnsi="Arial" w:cs="Arial"/>
        </w:rPr>
        <w:t>; and</w:t>
      </w:r>
    </w:p>
    <w:p w14:paraId="3260FBD3" w14:textId="77777777" w:rsidR="00C27DC9" w:rsidRPr="00C27DC9" w:rsidRDefault="00C27DC9" w:rsidP="00C27DC9">
      <w:pPr>
        <w:pStyle w:val="ListParagraph"/>
        <w:numPr>
          <w:ilvl w:val="0"/>
          <w:numId w:val="1"/>
        </w:numPr>
        <w:rPr>
          <w:rFonts w:ascii="Arial" w:hAnsi="Arial" w:cs="Arial"/>
        </w:rPr>
      </w:pPr>
      <w:r w:rsidRPr="00C27DC9">
        <w:rPr>
          <w:rFonts w:ascii="Arial" w:hAnsi="Arial" w:cs="Arial"/>
        </w:rPr>
        <w:t>Level Playing Field with HNZC and TLAs.</w:t>
      </w:r>
    </w:p>
    <w:p w14:paraId="4DA99D9A" w14:textId="77777777" w:rsidR="00C27DC9" w:rsidRPr="00616041" w:rsidRDefault="000B7D1A" w:rsidP="00B2628D">
      <w:pPr>
        <w:rPr>
          <w:rFonts w:ascii="Arial" w:hAnsi="Arial" w:cs="Arial"/>
        </w:rPr>
      </w:pPr>
      <w:r>
        <w:rPr>
          <w:rFonts w:ascii="Arial" w:hAnsi="Arial" w:cs="Arial"/>
        </w:rPr>
        <w:lastRenderedPageBreak/>
        <w:t xml:space="preserve">Given the time constraints related to existing deemed providers, we agree that these issues are best addressed through a separate consultation.  We look forward </w:t>
      </w:r>
      <w:r w:rsidR="00A26A2C">
        <w:rPr>
          <w:rFonts w:ascii="Arial" w:hAnsi="Arial" w:cs="Arial"/>
        </w:rPr>
        <w:t xml:space="preserve">to engaging with CHRA on </w:t>
      </w:r>
      <w:r>
        <w:rPr>
          <w:rFonts w:ascii="Arial" w:hAnsi="Arial" w:cs="Arial"/>
        </w:rPr>
        <w:t>this further</w:t>
      </w:r>
      <w:r w:rsidR="00A26A2C">
        <w:rPr>
          <w:rFonts w:ascii="Arial" w:hAnsi="Arial" w:cs="Arial"/>
        </w:rPr>
        <w:t xml:space="preserve"> consultation</w:t>
      </w:r>
      <w:r>
        <w:rPr>
          <w:rFonts w:ascii="Arial" w:hAnsi="Arial" w:cs="Arial"/>
        </w:rPr>
        <w:t xml:space="preserve"> in the near future.</w:t>
      </w:r>
    </w:p>
    <w:p w14:paraId="7F0FEF83" w14:textId="77777777" w:rsidR="00C27DC9" w:rsidRDefault="00C27DC9" w:rsidP="00C27DC9">
      <w:pPr>
        <w:tabs>
          <w:tab w:val="left" w:pos="5640"/>
        </w:tabs>
        <w:rPr>
          <w:rFonts w:ascii="Arial" w:hAnsi="Arial" w:cs="Arial"/>
        </w:rPr>
      </w:pPr>
      <w:r w:rsidRPr="00A61F54">
        <w:rPr>
          <w:rFonts w:ascii="Arial" w:hAnsi="Arial" w:cs="Arial"/>
        </w:rPr>
        <w:t>Community Housing Aotearoa</w:t>
      </w:r>
      <w:r>
        <w:rPr>
          <w:rFonts w:ascii="Arial" w:hAnsi="Arial" w:cs="Arial"/>
          <w:b/>
        </w:rPr>
        <w:t xml:space="preserve"> </w:t>
      </w:r>
      <w:r w:rsidRPr="00666E86">
        <w:rPr>
          <w:rFonts w:ascii="Arial" w:hAnsi="Arial" w:cs="Arial"/>
        </w:rPr>
        <w:t>is the peak body for New Zealand’s community housing organisations with over 70 member organisations. It is an Incorporated Society, established in 2004 as the national umbrella group for New Zeal</w:t>
      </w:r>
      <w:r w:rsidR="00FC4332">
        <w:rPr>
          <w:rFonts w:ascii="Arial" w:hAnsi="Arial" w:cs="Arial"/>
        </w:rPr>
        <w:t xml:space="preserve">and's community housing sector, </w:t>
      </w:r>
      <w:r w:rsidRPr="00666E86">
        <w:rPr>
          <w:rFonts w:ascii="Arial" w:hAnsi="Arial" w:cs="Arial"/>
        </w:rPr>
        <w:t>showcasing its achievements and reinforcing its business and community models.</w:t>
      </w:r>
    </w:p>
    <w:p w14:paraId="21647B3D" w14:textId="77777777" w:rsidR="00C27DC9" w:rsidRPr="00666E86" w:rsidRDefault="00C27DC9" w:rsidP="00C27DC9">
      <w:pPr>
        <w:tabs>
          <w:tab w:val="left" w:pos="5640"/>
        </w:tabs>
        <w:rPr>
          <w:rFonts w:ascii="Arial" w:hAnsi="Arial" w:cs="Arial"/>
        </w:rPr>
      </w:pPr>
      <w:r w:rsidRPr="00A61F54">
        <w:rPr>
          <w:rFonts w:ascii="Arial" w:hAnsi="Arial" w:cs="Arial"/>
        </w:rPr>
        <w:t>The New Zealand community housing sector includes a variety of organisational forms including Māori organisations, not-for-profit companies, charitable trusts and incorporated societies. Its members deliver a full continuum of housing, from the development and construction of new housing, the ownership and provision of affordable rental housing, to the facilitation of affordable home ownership options. The sector serves a diverse range of people with a diverse range of needs, including low and moderate income people, those who have particular health or social needs, people who have kinship r</w:t>
      </w:r>
      <w:r>
        <w:rPr>
          <w:rFonts w:ascii="Arial" w:hAnsi="Arial" w:cs="Arial"/>
        </w:rPr>
        <w:t xml:space="preserve">elationships, and the elderly. </w:t>
      </w:r>
    </w:p>
    <w:p w14:paraId="26D8965F" w14:textId="77777777" w:rsidR="000825BD" w:rsidRPr="00666E86" w:rsidRDefault="000825BD" w:rsidP="000825BD">
      <w:pPr>
        <w:spacing w:after="0"/>
        <w:jc w:val="both"/>
        <w:rPr>
          <w:rFonts w:ascii="Arial" w:hAnsi="Arial" w:cs="Arial"/>
          <w:color w:val="1D1B11" w:themeColor="background2" w:themeShade="1A"/>
        </w:rPr>
      </w:pPr>
      <w:r>
        <w:rPr>
          <w:rFonts w:ascii="Arial" w:hAnsi="Arial" w:cs="Arial"/>
          <w:color w:val="1D1B11" w:themeColor="background2" w:themeShade="1A"/>
        </w:rPr>
        <w:t xml:space="preserve">Please feel free to contact us with any queries regarding our </w:t>
      </w:r>
      <w:r w:rsidRPr="00666E86">
        <w:rPr>
          <w:rFonts w:ascii="Arial" w:hAnsi="Arial" w:cs="Arial"/>
          <w:color w:val="1D1B11" w:themeColor="background2" w:themeShade="1A"/>
        </w:rPr>
        <w:t>sub</w:t>
      </w:r>
      <w:r>
        <w:rPr>
          <w:rFonts w:ascii="Arial" w:hAnsi="Arial" w:cs="Arial"/>
          <w:color w:val="1D1B11" w:themeColor="background2" w:themeShade="1A"/>
        </w:rPr>
        <w:t>mission.</w:t>
      </w:r>
    </w:p>
    <w:p w14:paraId="5E0D91BA" w14:textId="77777777" w:rsidR="000825BD" w:rsidRPr="00A61F54" w:rsidRDefault="000825BD" w:rsidP="000825BD">
      <w:pPr>
        <w:tabs>
          <w:tab w:val="left" w:pos="5640"/>
        </w:tabs>
        <w:spacing w:after="0" w:line="240" w:lineRule="auto"/>
        <w:rPr>
          <w:rFonts w:ascii="Arial" w:hAnsi="Arial" w:cs="Arial"/>
        </w:rPr>
      </w:pPr>
    </w:p>
    <w:p w14:paraId="499C76E5" w14:textId="77777777" w:rsidR="000825BD" w:rsidRPr="00A61F54" w:rsidRDefault="000825BD" w:rsidP="000825BD">
      <w:pPr>
        <w:tabs>
          <w:tab w:val="left" w:pos="5640"/>
        </w:tabs>
        <w:spacing w:after="0" w:line="240" w:lineRule="auto"/>
        <w:rPr>
          <w:rFonts w:ascii="Arial" w:hAnsi="Arial" w:cs="Arial"/>
        </w:rPr>
      </w:pPr>
      <w:r w:rsidRPr="00A61F54">
        <w:rPr>
          <w:rFonts w:ascii="Arial" w:hAnsi="Arial" w:cs="Arial"/>
        </w:rPr>
        <w:t>Kind regards</w:t>
      </w:r>
    </w:p>
    <w:p w14:paraId="1289FF5E" w14:textId="77777777" w:rsidR="000825BD" w:rsidRDefault="000825BD" w:rsidP="000825BD">
      <w:pPr>
        <w:tabs>
          <w:tab w:val="left" w:pos="5640"/>
        </w:tabs>
        <w:spacing w:after="0" w:line="240" w:lineRule="auto"/>
        <w:rPr>
          <w:rFonts w:ascii="Arial" w:hAnsi="Arial" w:cs="Arial"/>
        </w:rPr>
      </w:pPr>
    </w:p>
    <w:p w14:paraId="53167A43" w14:textId="3E1404DB" w:rsidR="000825BD" w:rsidRDefault="000825BD" w:rsidP="000825BD">
      <w:pPr>
        <w:tabs>
          <w:tab w:val="left" w:pos="5640"/>
        </w:tabs>
        <w:spacing w:after="0" w:line="240" w:lineRule="auto"/>
        <w:rPr>
          <w:rFonts w:ascii="Arial" w:hAnsi="Arial" w:cs="Arial"/>
        </w:rPr>
      </w:pPr>
    </w:p>
    <w:p w14:paraId="205D3043" w14:textId="77777777" w:rsidR="000825BD" w:rsidRPr="00A61F54" w:rsidRDefault="000825BD" w:rsidP="000825BD">
      <w:pPr>
        <w:tabs>
          <w:tab w:val="left" w:pos="5640"/>
        </w:tabs>
        <w:spacing w:after="0" w:line="240" w:lineRule="auto"/>
        <w:rPr>
          <w:rFonts w:ascii="Arial" w:hAnsi="Arial" w:cs="Arial"/>
        </w:rPr>
      </w:pPr>
    </w:p>
    <w:p w14:paraId="32113E9A" w14:textId="77777777" w:rsidR="000825BD" w:rsidRPr="00A61F54" w:rsidRDefault="000825BD" w:rsidP="000825BD">
      <w:pPr>
        <w:tabs>
          <w:tab w:val="left" w:pos="5640"/>
        </w:tabs>
        <w:spacing w:after="0" w:line="240" w:lineRule="auto"/>
        <w:rPr>
          <w:rFonts w:ascii="Arial" w:hAnsi="Arial" w:cs="Arial"/>
        </w:rPr>
      </w:pPr>
      <w:r w:rsidRPr="00A61F54">
        <w:rPr>
          <w:rFonts w:ascii="Arial" w:hAnsi="Arial" w:cs="Arial"/>
        </w:rPr>
        <w:t>Scott Figenshow</w:t>
      </w:r>
    </w:p>
    <w:p w14:paraId="5A9B5FA1" w14:textId="77777777" w:rsidR="000825BD" w:rsidRDefault="000825BD" w:rsidP="000825BD">
      <w:pPr>
        <w:tabs>
          <w:tab w:val="left" w:pos="5640"/>
        </w:tabs>
        <w:spacing w:after="0" w:line="240" w:lineRule="auto"/>
        <w:rPr>
          <w:rFonts w:ascii="Arial" w:hAnsi="Arial" w:cs="Arial"/>
        </w:rPr>
      </w:pPr>
      <w:r w:rsidRPr="00A61F54">
        <w:rPr>
          <w:rFonts w:ascii="Arial" w:hAnsi="Arial" w:cs="Arial"/>
        </w:rPr>
        <w:t>Director</w:t>
      </w:r>
    </w:p>
    <w:p w14:paraId="1C8C2289" w14:textId="4715B11E" w:rsidR="00250B53" w:rsidRDefault="00250B53" w:rsidP="000825BD">
      <w:pPr>
        <w:tabs>
          <w:tab w:val="left" w:pos="5640"/>
        </w:tabs>
        <w:spacing w:after="0" w:line="240" w:lineRule="auto"/>
        <w:rPr>
          <w:rFonts w:ascii="Arial" w:hAnsi="Arial" w:cs="Arial"/>
        </w:rPr>
      </w:pPr>
      <w:r>
        <w:rPr>
          <w:rFonts w:ascii="Arial" w:hAnsi="Arial" w:cs="Arial"/>
        </w:rPr>
        <w:t>021 061 9664</w:t>
      </w:r>
    </w:p>
    <w:p w14:paraId="15B07A7C" w14:textId="77777777" w:rsidR="00144529" w:rsidRPr="00144529" w:rsidRDefault="00144529" w:rsidP="00144529">
      <w:pPr>
        <w:tabs>
          <w:tab w:val="left" w:pos="5640"/>
        </w:tabs>
        <w:rPr>
          <w:sz w:val="12"/>
        </w:rPr>
      </w:pPr>
      <w:r>
        <w:rPr>
          <w:sz w:val="12"/>
        </w:rPr>
        <w:tab/>
      </w:r>
      <w:r>
        <w:rPr>
          <w:sz w:val="12"/>
        </w:rPr>
        <w:tab/>
      </w:r>
      <w:r>
        <w:rPr>
          <w:sz w:val="12"/>
        </w:rPr>
        <w:tab/>
      </w:r>
    </w:p>
    <w:sectPr w:rsidR="00144529" w:rsidRPr="0014452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D9270" w14:textId="77777777" w:rsidR="00F007D8" w:rsidRDefault="00F007D8" w:rsidP="00BF3F7A">
      <w:pPr>
        <w:spacing w:after="0" w:line="240" w:lineRule="auto"/>
      </w:pPr>
      <w:r>
        <w:separator/>
      </w:r>
    </w:p>
  </w:endnote>
  <w:endnote w:type="continuationSeparator" w:id="0">
    <w:p w14:paraId="1D18B449" w14:textId="77777777" w:rsidR="00F007D8" w:rsidRDefault="00F007D8" w:rsidP="00BF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DBB755" w14:textId="77777777" w:rsidR="00BF3F7A" w:rsidRDefault="00BF3F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E2EDB5" w14:textId="77777777" w:rsidR="00BF3F7A" w:rsidRDefault="00BF3F7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DB82BF" w14:textId="77777777" w:rsidR="00BF3F7A" w:rsidRDefault="00BF3F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97D11" w14:textId="77777777" w:rsidR="00F007D8" w:rsidRDefault="00F007D8" w:rsidP="00BF3F7A">
      <w:pPr>
        <w:spacing w:after="0" w:line="240" w:lineRule="auto"/>
      </w:pPr>
      <w:r>
        <w:separator/>
      </w:r>
    </w:p>
  </w:footnote>
  <w:footnote w:type="continuationSeparator" w:id="0">
    <w:p w14:paraId="185C56A0" w14:textId="77777777" w:rsidR="00F007D8" w:rsidRDefault="00F007D8" w:rsidP="00BF3F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5B9246" w14:textId="77777777" w:rsidR="00BF3F7A" w:rsidRDefault="00BF3F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090959385"/>
      <w:docPartObj>
        <w:docPartGallery w:val="Watermarks"/>
        <w:docPartUnique/>
      </w:docPartObj>
    </w:sdtPr>
    <w:sdtEndPr/>
    <w:sdtContent>
      <w:p w14:paraId="40E91D34" w14:textId="77777777" w:rsidR="00BF3F7A" w:rsidRDefault="00C34AA7">
        <w:pPr>
          <w:pStyle w:val="Header"/>
        </w:pPr>
        <w:r>
          <w:rPr>
            <w:noProof/>
            <w:lang w:val="en-US"/>
          </w:rPr>
          <w:pict w14:anchorId="5D1A795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1A07FE" w14:textId="77777777" w:rsidR="00BF3F7A" w:rsidRDefault="00BF3F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32C4"/>
    <w:multiLevelType w:val="hybridMultilevel"/>
    <w:tmpl w:val="9B545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29"/>
    <w:rsid w:val="000825BD"/>
    <w:rsid w:val="000B7D1A"/>
    <w:rsid w:val="00144529"/>
    <w:rsid w:val="00171697"/>
    <w:rsid w:val="00182A5C"/>
    <w:rsid w:val="00250B53"/>
    <w:rsid w:val="002F708F"/>
    <w:rsid w:val="00387DDC"/>
    <w:rsid w:val="00616041"/>
    <w:rsid w:val="008B1CC5"/>
    <w:rsid w:val="00A26A2C"/>
    <w:rsid w:val="00B2628D"/>
    <w:rsid w:val="00BF3F7A"/>
    <w:rsid w:val="00C27DC9"/>
    <w:rsid w:val="00C34AA7"/>
    <w:rsid w:val="00F007D8"/>
    <w:rsid w:val="00FC4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E2C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CC5"/>
    <w:pPr>
      <w:spacing w:after="0" w:line="240" w:lineRule="auto"/>
    </w:pPr>
  </w:style>
  <w:style w:type="character" w:styleId="Hyperlink">
    <w:name w:val="Hyperlink"/>
    <w:basedOn w:val="DefaultParagraphFont"/>
    <w:uiPriority w:val="99"/>
    <w:unhideWhenUsed/>
    <w:rsid w:val="000825BD"/>
    <w:rPr>
      <w:color w:val="0000FF" w:themeColor="hyperlink"/>
      <w:u w:val="single"/>
    </w:rPr>
  </w:style>
  <w:style w:type="paragraph" w:styleId="ListParagraph">
    <w:name w:val="List Paragraph"/>
    <w:basedOn w:val="Normal"/>
    <w:uiPriority w:val="34"/>
    <w:qFormat/>
    <w:rsid w:val="00C27DC9"/>
    <w:pPr>
      <w:ind w:left="720"/>
      <w:contextualSpacing/>
    </w:pPr>
  </w:style>
  <w:style w:type="paragraph" w:styleId="Header">
    <w:name w:val="header"/>
    <w:basedOn w:val="Normal"/>
    <w:link w:val="HeaderChar"/>
    <w:uiPriority w:val="99"/>
    <w:unhideWhenUsed/>
    <w:rsid w:val="00BF3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F7A"/>
  </w:style>
  <w:style w:type="paragraph" w:styleId="Footer">
    <w:name w:val="footer"/>
    <w:basedOn w:val="Normal"/>
    <w:link w:val="FooterChar"/>
    <w:uiPriority w:val="99"/>
    <w:unhideWhenUsed/>
    <w:rsid w:val="00BF3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F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CC5"/>
    <w:pPr>
      <w:spacing w:after="0" w:line="240" w:lineRule="auto"/>
    </w:pPr>
  </w:style>
  <w:style w:type="character" w:styleId="Hyperlink">
    <w:name w:val="Hyperlink"/>
    <w:basedOn w:val="DefaultParagraphFont"/>
    <w:uiPriority w:val="99"/>
    <w:unhideWhenUsed/>
    <w:rsid w:val="000825BD"/>
    <w:rPr>
      <w:color w:val="0000FF" w:themeColor="hyperlink"/>
      <w:u w:val="single"/>
    </w:rPr>
  </w:style>
  <w:style w:type="paragraph" w:styleId="ListParagraph">
    <w:name w:val="List Paragraph"/>
    <w:basedOn w:val="Normal"/>
    <w:uiPriority w:val="34"/>
    <w:qFormat/>
    <w:rsid w:val="00C27DC9"/>
    <w:pPr>
      <w:ind w:left="720"/>
      <w:contextualSpacing/>
    </w:pPr>
  </w:style>
  <w:style w:type="paragraph" w:styleId="Header">
    <w:name w:val="header"/>
    <w:basedOn w:val="Normal"/>
    <w:link w:val="HeaderChar"/>
    <w:uiPriority w:val="99"/>
    <w:unhideWhenUsed/>
    <w:rsid w:val="00BF3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F7A"/>
  </w:style>
  <w:style w:type="paragraph" w:styleId="Footer">
    <w:name w:val="footer"/>
    <w:basedOn w:val="Normal"/>
    <w:link w:val="FooterChar"/>
    <w:uiPriority w:val="99"/>
    <w:unhideWhenUsed/>
    <w:rsid w:val="00BF3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mailto:CHP.regulations@mbie.govt.nz"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DD83A96D5AD24AAB9114B9D8008DF8" ma:contentTypeVersion="0" ma:contentTypeDescription="Create a new document." ma:contentTypeScope="" ma:versionID="c6a67a4c17f40f450131a7ffe29846db">
  <xsd:schema xmlns:xsd="http://www.w3.org/2001/XMLSchema" xmlns:xs="http://www.w3.org/2001/XMLSchema" xmlns:p="http://schemas.microsoft.com/office/2006/metadata/properties" targetNamespace="http://schemas.microsoft.com/office/2006/metadata/properties" ma:root="true" ma:fieldsID="dbec52d60d7f426244e42e870d2185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5242D-B589-482E-A2A1-007558CCB0F8}">
  <ds:schemaRefs>
    <ds:schemaRef ds:uri="http://schemas.microsoft.com/sharepoint/v3/contenttype/forms"/>
  </ds:schemaRefs>
</ds:datastoreItem>
</file>

<file path=customXml/itemProps2.xml><?xml version="1.0" encoding="utf-8"?>
<ds:datastoreItem xmlns:ds="http://schemas.openxmlformats.org/officeDocument/2006/customXml" ds:itemID="{245BDC7E-A6F2-4D84-A2C9-106CD20C4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952D30-26B2-46ED-B844-07CCDBDE62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Scott Figenshow</cp:lastModifiedBy>
  <cp:revision>2</cp:revision>
  <cp:lastPrinted>2015-01-30T01:00:00Z</cp:lastPrinted>
  <dcterms:created xsi:type="dcterms:W3CDTF">2015-01-30T01:01:00Z</dcterms:created>
  <dcterms:modified xsi:type="dcterms:W3CDTF">2015-01-30T01:01:00Z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0x01010059DD83A96D5AD24AAB9114B9D8008DF8</vt:lpwstr>
  </property>
</Properties>
</file>